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rPr>
          <w:rFonts w:cs="Calibri" w:ascii="Calibri" w:hAnsi="Calibri"/>
          <w:b/>
          <w:bCs/>
          <w:color w:val="000000"/>
          <w:sz w:val="22"/>
          <w:szCs w:val="22"/>
        </w:rPr>
      </w:pPr>
      <w:r>
        <w:rPr>
          <w:rFonts w:cs="Calibri" w:ascii="Calibri" w:hAnsi="Calibri"/>
          <w:b/>
          <w:bCs/>
          <w:color w:val="000000"/>
          <w:sz w:val="22"/>
          <w:szCs w:val="22"/>
        </w:rPr>
        <w:t xml:space="preserve">Opening of a Faculty Position in the area of </w:t>
      </w:r>
    </w:p>
    <w:p>
      <w:pPr>
        <w:pStyle w:val="Normal"/>
        <w:widowControl w:val="false"/>
        <w:rPr>
          <w:rFonts w:cs="Calibri" w:ascii="Calibri" w:hAnsi="Calibri"/>
          <w:b/>
          <w:bCs/>
          <w:color w:val="000000"/>
          <w:sz w:val="22"/>
          <w:szCs w:val="22"/>
        </w:rPr>
      </w:pPr>
      <w:r>
        <w:rPr>
          <w:rFonts w:cs="Calibri" w:ascii="Calibri" w:hAnsi="Calibri"/>
          <w:b/>
          <w:bCs/>
          <w:color w:val="000000"/>
          <w:sz w:val="22"/>
          <w:szCs w:val="22"/>
        </w:rPr>
        <w:t>Mathematical Statistics and Data Science</w:t>
      </w:r>
    </w:p>
    <w:p>
      <w:pPr>
        <w:pStyle w:val="Normal"/>
        <w:widowControl w:val="false"/>
        <w:rPr>
          <w:rFonts w:cs="Calibri" w:ascii="Calibri" w:hAnsi="Calibri"/>
          <w:b/>
          <w:bCs/>
          <w:color w:val="000000"/>
          <w:sz w:val="22"/>
          <w:szCs w:val="22"/>
        </w:rPr>
      </w:pPr>
      <w:r>
        <w:rPr>
          <w:rFonts w:cs="Calibri" w:ascii="Calibri" w:hAnsi="Calibri"/>
          <w:b/>
          <w:bCs/>
          <w:color w:val="000000"/>
          <w:sz w:val="22"/>
          <w:szCs w:val="22"/>
        </w:rPr>
        <w:t>at the Department of Mathematics of the University of Trento</w:t>
      </w:r>
    </w:p>
    <w:p>
      <w:pPr>
        <w:pStyle w:val="Normal"/>
        <w:widowControl w:val="false"/>
        <w:rPr>
          <w:rFonts w:cs="Calibri" w:ascii="Calibri" w:hAnsi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1"/>
        <w:widowControl w:val="false"/>
        <w:rPr>
          <w:rStyle w:val="DefaultParagraphFont"/>
          <w:rFonts w:cs="Helvetica" w:ascii="Calibri" w:hAnsi="Calibri"/>
          <w:b/>
          <w:bCs/>
          <w:color w:val="000000"/>
          <w:sz w:val="22"/>
          <w:szCs w:val="22"/>
        </w:rPr>
      </w:pPr>
      <w:r>
        <w:rPr>
          <w:rStyle w:val="DefaultParagraphFont"/>
          <w:rFonts w:cs="Helvetica" w:ascii="Calibri" w:hAnsi="Calibri"/>
          <w:color w:val="000000"/>
          <w:sz w:val="22"/>
          <w:szCs w:val="22"/>
        </w:rPr>
        <w:t xml:space="preserve">The Department of Mathematics of the University of Trento (henceforth referred to as </w:t>
      </w:r>
      <w:r>
        <w:rPr>
          <w:rStyle w:val="DefaultParagraphFont"/>
          <w:rFonts w:cs="Helvetica" w:ascii="Calibri" w:hAnsi="Calibri"/>
          <w:i/>
          <w:iCs/>
          <w:color w:val="000000"/>
          <w:sz w:val="22"/>
          <w:szCs w:val="22"/>
        </w:rPr>
        <w:t>the Department</w:t>
      </w:r>
      <w:r>
        <w:rPr>
          <w:rStyle w:val="DefaultParagraphFont"/>
          <w:rFonts w:cs="Helvetica" w:ascii="Calibri" w:hAnsi="Calibri"/>
          <w:color w:val="000000"/>
          <w:sz w:val="22"/>
          <w:szCs w:val="22"/>
        </w:rPr>
        <w:t>) seeks a scientist working in the field of</w:t>
      </w:r>
      <w:r>
        <w:rPr>
          <w:rStyle w:val="DefaultParagraphFont"/>
          <w:rFonts w:cs="Helvetica" w:ascii="Calibri" w:hAnsi="Calibri"/>
          <w:b/>
          <w:bCs/>
          <w:color w:val="000000"/>
          <w:sz w:val="22"/>
          <w:szCs w:val="22"/>
        </w:rPr>
        <w:t xml:space="preserve"> </w:t>
      </w:r>
    </w:p>
    <w:p>
      <w:pPr>
        <w:pStyle w:val="Normal"/>
        <w:widowControl w:val="false"/>
        <w:jc w:val="center"/>
        <w:rPr>
          <w:rStyle w:val="DefaultParagraphFont"/>
          <w:rFonts w:cs="Helvetica" w:ascii="Calibri" w:hAnsi="Calibri"/>
          <w:b/>
          <w:bCs/>
          <w:color w:val="000000"/>
          <w:sz w:val="22"/>
          <w:szCs w:val="22"/>
        </w:rPr>
      </w:pPr>
      <w:r>
        <w:rPr>
          <w:rStyle w:val="DefaultParagraphFont"/>
          <w:rFonts w:cs="Helvetica" w:ascii="Calibri" w:hAnsi="Calibri"/>
          <w:b/>
          <w:bCs/>
          <w:color w:val="000000"/>
          <w:sz w:val="22"/>
          <w:szCs w:val="22"/>
        </w:rPr>
        <w:t>Mathematical Statistics and Data Science.</w:t>
      </w:r>
    </w:p>
    <w:p>
      <w:pPr>
        <w:pStyle w:val="Normal1"/>
        <w:widowControl w:val="false"/>
        <w:rPr>
          <w:rFonts w:cs="Helvetica" w:ascii="Calibri" w:hAnsi="Calibri"/>
          <w:color w:val="000000"/>
          <w:sz w:val="22"/>
          <w:szCs w:val="22"/>
        </w:rPr>
      </w:pPr>
      <w:r>
        <w:rPr>
          <w:rFonts w:cs="Helvetica" w:ascii="Calibri" w:hAnsi="Calibri"/>
          <w:color w:val="000000"/>
          <w:sz w:val="22"/>
          <w:szCs w:val="22"/>
        </w:rPr>
        <w:t>to be appointed in a tenure-track position.</w:t>
      </w:r>
    </w:p>
    <w:p>
      <w:pPr>
        <w:pStyle w:val="Normal"/>
        <w:rPr/>
      </w:pPr>
      <w:r>
        <w:rPr/>
      </w:r>
    </w:p>
    <w:p>
      <w:pPr>
        <w:pStyle w:val="Normal"/>
        <w:rPr>
          <w:rFonts w:cs="Times"/>
        </w:rPr>
      </w:pPr>
      <w:r>
        <w:rPr>
          <w:rFonts w:cs="Times"/>
        </w:rPr>
        <w:t>The Department invites highly qualified scientists in the field of Data Science to send an Expression of Interest (EOI) in view of the activation of a tenure-track position.</w:t>
      </w:r>
    </w:p>
    <w:p>
      <w:pPr>
        <w:pStyle w:val="Normal"/>
        <w:rPr/>
      </w:pPr>
      <w:r>
        <w:rPr/>
        <w:t xml:space="preserve">The Department currently enrolls in the field of Probability and Mathematical Statistics two Associate Professors and one </w:t>
      </w:r>
      <w:r>
        <w:rPr>
          <w:rFonts w:eastAsia="ＭＳ 明朝"/>
        </w:rPr>
        <w:t>Assistant Professor, tenure track (</w:t>
      </w:r>
      <w:r>
        <w:rPr>
          <w:rFonts w:eastAsia="ＭＳ 明朝"/>
          <w:i/>
          <w:iCs/>
        </w:rPr>
        <w:t>ricercatore TD – B</w:t>
      </w:r>
      <w:r>
        <w:rPr>
          <w:rFonts w:eastAsia="ＭＳ 明朝"/>
        </w:rPr>
        <w:t xml:space="preserve">) and </w:t>
      </w:r>
      <w:r>
        <w:rPr/>
        <w:t xml:space="preserve">has a strong interest in building up a larger </w:t>
      </w:r>
      <w:bookmarkStart w:id="0" w:name="_GoBack"/>
      <w:bookmarkEnd w:id="0"/>
      <w:r>
        <w:rPr/>
        <w:t>research group in the area of Data Science.</w:t>
      </w:r>
    </w:p>
    <w:p>
      <w:pPr>
        <w:pStyle w:val="Normal"/>
        <w:rPr>
          <w:rFonts w:cs="Times"/>
        </w:rPr>
      </w:pPr>
      <w:r>
        <w:rPr>
          <w:rFonts w:cs="Times"/>
        </w:rPr>
      </w:r>
    </w:p>
    <w:p>
      <w:pPr>
        <w:pStyle w:val="Normal"/>
        <w:rPr>
          <w:rFonts w:cs="Times"/>
        </w:rPr>
      </w:pPr>
      <w:r>
        <w:rPr/>
        <w:t>Candidates with a strong research background in fields related to</w:t>
      </w:r>
      <w:r>
        <w:rPr>
          <w:rFonts w:cs="Times"/>
        </w:rPr>
        <w:t xml:space="preserve"> Probability, Mathematical Statistics, Statistical Learning, Scientific Computing and Mathematical Foundation of Data Science are strongly encouraged to apply.</w:t>
      </w:r>
    </w:p>
    <w:p>
      <w:pPr>
        <w:pStyle w:val="Normal"/>
        <w:rPr/>
      </w:pPr>
      <w:r>
        <w:rPr/>
        <w:t>The Department seeks a scientist working on cutting edge research topics, internationally recognized as part of a scientific network of experts in her/his own field; successful experience in the supervision of doctoral students and interdisciplinary collaborations are a plus.</w:t>
      </w:r>
    </w:p>
    <w:p>
      <w:pPr>
        <w:pStyle w:val="Normal"/>
        <w:rPr>
          <w:rFonts w:cs="Times"/>
        </w:rPr>
      </w:pPr>
      <w:r>
        <w:rPr/>
        <w:t xml:space="preserve">The Department coordinates a Master's Program in Mathematics, with a specific curriculum in </w:t>
      </w:r>
      <w:r>
        <w:rPr>
          <w:i/>
          <w:iCs/>
        </w:rPr>
        <w:t>Mathematics for Life and Data Sciences</w:t>
      </w:r>
      <w:r>
        <w:rPr/>
        <w:t xml:space="preserve"> with an average of 20 students per year. The Department is also involved in two interdisciplinary Master's programs: (i) Quantitative and Computational Biology</w:t>
      </w:r>
      <w:r>
        <w:rPr>
          <w:rFonts w:cs="Times"/>
        </w:rPr>
        <w:t xml:space="preserve"> and (ii) Data Science. </w:t>
      </w:r>
    </w:p>
    <w:p>
      <w:pPr>
        <w:pStyle w:val="Normal"/>
        <w:rPr/>
      </w:pPr>
      <w:r>
        <w:rPr/>
        <w:t xml:space="preserve">The PhD School in Mathematics enrolls in the average ten students per year. </w:t>
      </w:r>
    </w:p>
    <w:p>
      <w:pPr>
        <w:pStyle w:val="Normal"/>
        <w:rPr/>
      </w:pPr>
      <w:r>
        <w:rPr/>
        <w:t xml:space="preserve">The successful candidate is expected to be one of the reference Faculty for the curriculum in </w:t>
      </w:r>
      <w:r>
        <w:rPr>
          <w:i/>
          <w:iCs/>
        </w:rPr>
        <w:t>Mathematics for Life and Data Sciences</w:t>
      </w:r>
      <w:r>
        <w:rPr/>
        <w:t>, and to participate in teaching activities at all levels.</w:t>
      </w:r>
    </w:p>
    <w:p>
      <w:pPr>
        <w:pStyle w:val="Normal"/>
        <w:rPr/>
      </w:pPr>
      <w:r>
        <w:rPr/>
        <w:t>Moreover, candidates are expected to show a strong potential to apply to competitive research grants in particular towards EU funding schemes.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APPLICATION</w:t>
      </w:r>
    </w:p>
    <w:p>
      <w:pPr>
        <w:pStyle w:val="Normal"/>
        <w:rPr/>
      </w:pPr>
      <w:r>
        <w:rPr/>
        <w:t xml:space="preserve">The deadline for these expressions of interest, to be sent to the Head of the Department (current Head is professor A. Caranti) at </w:t>
      </w:r>
      <w:r>
        <w:rPr>
          <w:rFonts w:cs="Courier"/>
        </w:rPr>
        <w:t>direttore.maths@unitn.it,</w:t>
      </w:r>
      <w:r>
        <w:rPr/>
        <w:t xml:space="preserve"> is 31 March 2018.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At a later date, the Department will open a formal call, according to Italians rules and regulations.</w:t>
      </w:r>
    </w:p>
    <w:p>
      <w:pPr>
        <w:pStyle w:val="Normal"/>
        <w:rPr/>
      </w:pPr>
      <w:r>
        <w:rPr/>
      </w:r>
    </w:p>
    <w:p>
      <w:pPr>
        <w:pStyle w:val="Normal"/>
        <w:rPr>
          <w:rFonts w:eastAsia="ＭＳ 明朝"/>
        </w:rPr>
      </w:pPr>
      <w:r>
        <w:rPr>
          <w:rFonts w:eastAsia="ＭＳ 明朝"/>
        </w:rPr>
        <w:t>ADDITIONAL INFORMATION</w:t>
      </w:r>
    </w:p>
    <w:p>
      <w:pPr>
        <w:pStyle w:val="Normal"/>
        <w:rPr>
          <w:rFonts w:eastAsia="ＭＳ 明朝"/>
        </w:rPr>
      </w:pPr>
      <w:r>
        <w:rPr>
          <w:rFonts w:eastAsia="ＭＳ 明朝"/>
        </w:rPr>
        <w:t>1- Teaching load</w:t>
      </w:r>
    </w:p>
    <w:p>
      <w:pPr>
        <w:pStyle w:val="Normal"/>
        <w:rPr>
          <w:rFonts w:eastAsia="ＭＳ 明朝"/>
        </w:rPr>
      </w:pPr>
      <w:r>
        <w:rPr>
          <w:rFonts w:eastAsia="ＭＳ 明朝"/>
        </w:rPr>
        <w:t>Two courses per year, seminar activity and tutoring of PhD students. All activities at the Master's and doctoral level are in English.</w:t>
      </w:r>
    </w:p>
    <w:p>
      <w:pPr>
        <w:pStyle w:val="Normal"/>
        <w:rPr>
          <w:rFonts w:eastAsia="ＭＳ 明朝"/>
        </w:rPr>
      </w:pPr>
      <w:r>
        <w:rPr>
          <w:rFonts w:eastAsia="ＭＳ 明朝"/>
        </w:rPr>
        <w:t>2- Salary</w:t>
      </w:r>
    </w:p>
    <w:p>
      <w:pPr>
        <w:pStyle w:val="Normal"/>
        <w:rPr>
          <w:rFonts w:eastAsia="ＭＳ 明朝"/>
        </w:rPr>
      </w:pPr>
      <w:r>
        <w:rPr>
          <w:rFonts w:eastAsia="ＭＳ 明朝"/>
        </w:rPr>
        <w:t>The amount of salary will be determined on a personal basis, according to the Italian Law. Indicative figures of the minimum gross amount per year of the starting salary are:</w:t>
      </w:r>
    </w:p>
    <w:p>
      <w:pPr>
        <w:pStyle w:val="Normal"/>
        <w:rPr>
          <w:rFonts w:eastAsia="ＭＳ 明朝"/>
        </w:rPr>
      </w:pPr>
      <w:r>
        <w:rPr>
          <w:rFonts w:eastAsia="ＭＳ 明朝"/>
        </w:rPr>
        <w:t>Assistant Professor, tenure track (</w:t>
      </w:r>
      <w:r>
        <w:rPr>
          <w:rFonts w:eastAsia="ＭＳ 明朝"/>
          <w:i/>
          <w:iCs/>
        </w:rPr>
        <w:t>ricercatori TD – B</w:t>
      </w:r>
      <w:r>
        <w:rPr>
          <w:rFonts w:eastAsia="ＭＳ 明朝"/>
        </w:rPr>
        <w:t>) € 45.367</w:t>
      </w:r>
    </w:p>
    <w:p>
      <w:pPr>
        <w:pStyle w:val="Normal"/>
        <w:rPr>
          <w:rFonts w:eastAsia="ＭＳ 明朝"/>
        </w:rPr>
      </w:pPr>
      <w:r>
        <w:rPr>
          <w:rFonts w:eastAsia="ＭＳ 明朝"/>
        </w:rPr>
        <w:t>After 3 years candidates will be promoted to the Associate Professor level (starting level € 50.831), provided that the necessary qualification (</w:t>
      </w:r>
      <w:r>
        <w:rPr>
          <w:rFonts w:eastAsia="ＭＳ 明朝"/>
          <w:i/>
          <w:iCs/>
        </w:rPr>
        <w:t>abilitazione nazionale</w:t>
      </w:r>
      <w:r>
        <w:rPr>
          <w:rFonts w:eastAsia="ＭＳ 明朝"/>
        </w:rPr>
        <w:t>) have been reached.</w:t>
      </w:r>
    </w:p>
    <w:p>
      <w:pPr>
        <w:pStyle w:val="Normal"/>
        <w:rPr>
          <w:rFonts w:eastAsia="ＭＳ 明朝"/>
        </w:rPr>
      </w:pPr>
      <w:r>
        <w:rPr>
          <w:rFonts w:eastAsia="ＭＳ 明朝"/>
        </w:rPr>
        <w:t>Net income may vary case by case, after income taxes, local taxes, retirement plan, health care deduction and tax exemptions depending on the family structure; individuals transferring their fiscal residence to Italy from abroad may benefit for 3 years of partial tax exemptions. It may be possible to obtain a partial recognition of past services abroad at a corresponding level depending on legal constraints to be satisfied.</w:t>
      </w:r>
    </w:p>
    <w:p>
      <w:pPr>
        <w:pStyle w:val="Normal"/>
        <w:rPr>
          <w:rFonts w:eastAsia="ＭＳ 明朝"/>
        </w:rPr>
      </w:pPr>
      <w:r>
        <w:rPr>
          <w:rFonts w:eastAsia="ＭＳ 明朝"/>
        </w:rPr>
      </w:r>
    </w:p>
    <w:p>
      <w:pPr>
        <w:pStyle w:val="Normal"/>
        <w:rPr>
          <w:rFonts w:eastAsia="ＭＳ 明朝"/>
        </w:rPr>
      </w:pPr>
      <w:r>
        <w:rPr>
          <w:rFonts w:eastAsia="ＭＳ 明朝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41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6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mbria" w:hAnsi="Cambria" w:eastAsia="ＭＳ 明朝" w:cs="DejaVu Sans"/>
        <w:sz w:val="24"/>
        <w:szCs w:val="24"/>
        <w:lang w:val="en-US" w:eastAsia="it-IT" w:bidi="ar-SA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Cambria" w:hAnsi="Cambria" w:eastAsia="ＭＳ 明朝" w:cs="DejaVu Sans"/>
      <w:color w:val="auto"/>
      <w:sz w:val="24"/>
      <w:szCs w:val="24"/>
      <w:lang w:val="it-IT" w:eastAsia="it-IT" w:bidi="ar-SA"/>
    </w:rPr>
  </w:style>
  <w:style w:type="character" w:styleId="DefaultParagraphFont">
    <w:name w:val="Default Paragraph Font"/>
    <w:rPr/>
  </w:style>
  <w:style w:type="character" w:styleId="ListLabel1">
    <w:name w:val="ListLabel 1"/>
    <w:rPr>
      <w:rFonts w:cs="Courier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Normal1">
    <w:name w:val="LO-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Cambria" w:hAnsi="Cambria" w:eastAsia="ＭＳ 明朝" w:cs="DejaVu Sans"/>
      <w:color w:val="auto"/>
      <w:sz w:val="24"/>
      <w:szCs w:val="24"/>
      <w:lang w:val="en-US" w:eastAsia="it-IT" w:bidi="ar-SA"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2018-02-18T16:26:00Z</dcterms:created>
  <dc:creator>stefano bonaccorsi</dc:creator>
  <dc:language>en-GB</dc:language>
  <cp:lastModifiedBy>Andrea Caranti</cp:lastModifiedBy>
  <dcterms:modified xsi:type="dcterms:W3CDTF">2018-02-20T16:29:17Z</dcterms:modified>
  <cp:revision>8</cp:revision>
</cp:coreProperties>
</file>